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ECE4" w14:textId="2FB1402C" w:rsidR="000F1DC2" w:rsidRPr="00CB18AB" w:rsidRDefault="000F1DC2" w:rsidP="000F1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CB18AB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it-IT"/>
          <w14:ligatures w14:val="none"/>
        </w:rPr>
        <w:t>FREQUENTLY ASKED QUESTIONS</w:t>
      </w:r>
    </w:p>
    <w:p w14:paraId="5DC20A20" w14:textId="6E37B17A" w:rsidR="000F1DC2" w:rsidRDefault="000F1DC2" w:rsidP="000F1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Bandi </w:t>
      </w:r>
      <w:r w:rsidR="00464A1B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a cascata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Partenariati Estesi Politecnico di Torino</w:t>
      </w:r>
    </w:p>
    <w:p w14:paraId="6CC70DE4" w14:textId="77777777" w:rsidR="000F1DC2" w:rsidRDefault="000F1DC2" w:rsidP="000F1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0AF93E25" w14:textId="62AE8456" w:rsidR="000F1DC2" w:rsidRPr="000F1DC2" w:rsidRDefault="000F1DC2" w:rsidP="000F1DC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13C77DE" w14:textId="77777777" w:rsidR="000F1DC2" w:rsidRPr="00464A1B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49B4E5F" w14:textId="5B4F6517" w:rsidR="000F1DC2" w:rsidRPr="00464A1B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CB18AB"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7</w:t>
      </w:r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Quali sono le modalità di rendicontazione di dottorati, assegni e borse di ricerca?</w:t>
      </w:r>
    </w:p>
    <w:p w14:paraId="451A5426" w14:textId="77777777" w:rsidR="000F1DC2" w:rsidRPr="00464A1B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</w:t>
      </w:r>
    </w:p>
    <w:p w14:paraId="1E1B1424" w14:textId="17303E2A" w:rsidR="000F1DC2" w:rsidRPr="00464A1B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="00CB18AB"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7</w:t>
      </w:r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Sui Bandi a Cascata relativi ai Partenariati Estesi è autorizzata la rendicontazione a costi reali dei costi per assegni di ricerca, dei costi per borse per dottorati, dei costi per borse per dottorati di interesse nazionale e costi per borse di ricerca nella voce “</w:t>
      </w:r>
      <w:r w:rsidRPr="00464A1B">
        <w:rPr>
          <w:rFonts w:ascii="Arial" w:eastAsia="Times New Roman" w:hAnsi="Arial" w:cs="Arial"/>
          <w:i/>
          <w:iCs/>
          <w:kern w:val="0"/>
          <w:sz w:val="24"/>
          <w:szCs w:val="24"/>
          <w:lang w:eastAsia="it-IT"/>
          <w14:ligatures w14:val="none"/>
        </w:rPr>
        <w:t>ALTRE TIPOLOGIE DI SPESE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”.</w:t>
      </w:r>
    </w:p>
    <w:p w14:paraId="6C2AE5DA" w14:textId="77777777" w:rsidR="00CB18AB" w:rsidRPr="00464A1B" w:rsidRDefault="00CB18AB" w:rsidP="00CB18AB">
      <w:pPr>
        <w:jc w:val="center"/>
        <w:rPr>
          <w:sz w:val="24"/>
          <w:szCs w:val="24"/>
        </w:rPr>
      </w:pPr>
      <w:r>
        <w:rPr>
          <w:sz w:val="24"/>
          <w:szCs w:val="24"/>
        </w:rPr>
        <w:t>* * *</w:t>
      </w:r>
    </w:p>
    <w:p w14:paraId="109F7B18" w14:textId="77777777" w:rsidR="000F1DC2" w:rsidRPr="00464A1B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07D69E60" w14:textId="329DEBCA" w:rsidR="000F1DC2" w:rsidRPr="000F1DC2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0F1DC2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CB18AB"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6.</w:t>
      </w:r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Bando 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riservato ad </w:t>
      </w:r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unive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r</w:t>
      </w:r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sità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o centri di ricerca</w:t>
      </w:r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. Nella costruzione del budget, oltre al considerare il personale strutturato coinvolto nel progetto, 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si ha l’</w:t>
      </w:r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intenzione di assumere alcune unità di personale attraverso lo strumento dell'assegno di ricerca. La riga </w:t>
      </w:r>
      <w:proofErr w:type="spellStart"/>
      <w:proofErr w:type="gramStart"/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dell'excel</w:t>
      </w:r>
      <w:proofErr w:type="spellEnd"/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 destinata</w:t>
      </w:r>
      <w:proofErr w:type="gramEnd"/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"ad altre assunzioni" non mi consente tuttavia di settare il costo adeguato. Posso modificare il foglio con l'inserimento di una riga ad hoc, così da inserire il costo corretto per i mesi che intendo dichiarare e di conseguenza rendicontare?</w:t>
      </w:r>
    </w:p>
    <w:p w14:paraId="164C9DF3" w14:textId="77777777" w:rsidR="00CB18AB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0F1DC2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="00CB18AB"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6</w:t>
      </w:r>
      <w:r w:rsidRPr="000F1DC2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.</w:t>
      </w:r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</w:t>
      </w:r>
      <w:proofErr w:type="spellStart"/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ll</w:t>
      </w:r>
      <w:proofErr w:type="spellEnd"/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costo è fissato su costi standard e non è modificabile. Qualora, invece, volesse, all'interno della stessa categoria (ad esempio fascia di costo media) sia personale strutturato sia nuove assunzioni) dovrà inserire una nuova riga, forzando la </w:t>
      </w:r>
      <w:proofErr w:type="spellStart"/>
      <w:proofErr w:type="gramStart"/>
      <w:r w:rsidRPr="000F1DC2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tabella.</w:t>
      </w:r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Per</w:t>
      </w:r>
      <w:proofErr w:type="spellEnd"/>
      <w:proofErr w:type="gramEnd"/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quanto riguarda gli assegni di ricerca, occorre valorizzarli a costo reale nella voce “altre tipologia di spese”</w:t>
      </w:r>
    </w:p>
    <w:p w14:paraId="4B89DE39" w14:textId="77777777" w:rsidR="000F1DC2" w:rsidRPr="00464A1B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4569384C" w14:textId="77777777" w:rsidR="000F1DC2" w:rsidRPr="00464A1B" w:rsidRDefault="000F1DC2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5618014F" w14:textId="77777777" w:rsidR="00CB18AB" w:rsidRPr="00464A1B" w:rsidRDefault="00CB18AB" w:rsidP="00CB18AB">
      <w:pPr>
        <w:jc w:val="center"/>
        <w:rPr>
          <w:sz w:val="24"/>
          <w:szCs w:val="24"/>
        </w:rPr>
      </w:pPr>
      <w:r>
        <w:rPr>
          <w:sz w:val="24"/>
          <w:szCs w:val="24"/>
        </w:rPr>
        <w:t>* * *</w:t>
      </w:r>
    </w:p>
    <w:p w14:paraId="36754CEB" w14:textId="7A7B6DA9" w:rsidR="005273B8" w:rsidRPr="00464A1B" w:rsidRDefault="005273B8" w:rsidP="00CB1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CB18AB"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5.</w:t>
      </w:r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Con riferimento all'allegato B, che deve riportare il piano economico finanziario, in quale tipologia di costo è possibile inserire le missioni?</w:t>
      </w:r>
    </w:p>
    <w:p w14:paraId="4D14B048" w14:textId="3C0081AC" w:rsidR="005273B8" w:rsidRPr="00464A1B" w:rsidRDefault="005273B8" w:rsidP="00CB1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="00CB18AB"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5.</w:t>
      </w:r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Le missioni andranno inserite in "altre tipologie di costo</w:t>
      </w:r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”.</w:t>
      </w:r>
    </w:p>
    <w:p w14:paraId="2DBB9CFD" w14:textId="77777777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</w:t>
      </w:r>
    </w:p>
    <w:p w14:paraId="6AB63702" w14:textId="77777777" w:rsidR="00CB18AB" w:rsidRPr="00464A1B" w:rsidRDefault="00CB18AB" w:rsidP="00CB18AB">
      <w:pPr>
        <w:jc w:val="center"/>
        <w:rPr>
          <w:sz w:val="24"/>
          <w:szCs w:val="24"/>
        </w:rPr>
      </w:pPr>
      <w:r>
        <w:rPr>
          <w:sz w:val="24"/>
          <w:szCs w:val="24"/>
        </w:rPr>
        <w:t>* * *</w:t>
      </w:r>
    </w:p>
    <w:p w14:paraId="667BD70B" w14:textId="77777777" w:rsidR="00464A1B" w:rsidRPr="00464A1B" w:rsidRDefault="00464A1B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12A18B52" w14:textId="1690DEF4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CB18AB"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4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 Bando </w:t>
      </w:r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riservato a 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università </w:t>
      </w:r>
      <w:r w:rsidR="00CB18A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e Centri di ricerca. 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Se eventualmente decidessi di attivare una prestazione occasionale, dove devo inserire la voce di costo corrispondente?</w:t>
      </w:r>
    </w:p>
    <w:p w14:paraId="5A6A79A5" w14:textId="33DE1AC8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="00CB18AB"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4</w:t>
      </w:r>
      <w:r w:rsidRPr="00CB18A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.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La prestazione occasionale andrà inserita in "Costi per servizi di Consulenza Specialistica". La tabella superiore è riservata allo staff (già reclutato o da reclutare)</w:t>
      </w:r>
    </w:p>
    <w:p w14:paraId="61BC2052" w14:textId="77777777" w:rsidR="00464A1B" w:rsidRDefault="00464A1B" w:rsidP="00464A1B">
      <w:pPr>
        <w:jc w:val="center"/>
        <w:rPr>
          <w:sz w:val="24"/>
          <w:szCs w:val="24"/>
        </w:rPr>
      </w:pPr>
    </w:p>
    <w:p w14:paraId="65BC8400" w14:textId="0C20CF44" w:rsidR="00464A1B" w:rsidRPr="00464A1B" w:rsidRDefault="00464A1B" w:rsidP="00464A1B">
      <w:pPr>
        <w:jc w:val="center"/>
        <w:rPr>
          <w:sz w:val="24"/>
          <w:szCs w:val="24"/>
        </w:rPr>
      </w:pPr>
      <w:r>
        <w:rPr>
          <w:sz w:val="24"/>
          <w:szCs w:val="24"/>
        </w:rPr>
        <w:t>* * *</w:t>
      </w:r>
    </w:p>
    <w:p w14:paraId="41C989E8" w14:textId="77777777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</w:t>
      </w:r>
    </w:p>
    <w:p w14:paraId="6BBC5063" w14:textId="0E04B5BB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464A1B"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3</w:t>
      </w:r>
      <w:r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.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È ammissibile l'acquisto di personal computer portatili? </w:t>
      </w:r>
    </w:p>
    <w:p w14:paraId="3264CE44" w14:textId="77777777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Inoltre, come vengono in generale rendicontati gli acquisti? A costo storico o per ammortamento?</w:t>
      </w:r>
    </w:p>
    <w:p w14:paraId="3DE50CF5" w14:textId="77777777" w:rsid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="00464A1B"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3</w:t>
      </w:r>
      <w:r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.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A norma dell'art. 3.4 del Bando</w:t>
      </w:r>
      <w:r w:rsid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i pc portatili possono essere una spesa ammessa a patto che sia riservato esclusivamente ai fini dell'attività di ricerca. </w:t>
      </w:r>
      <w:r w:rsid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Per la rendicontazione a costo storico occorre una dichiarazione di utilizzo in via esclusiva dell’attrezzatura.</w:t>
      </w:r>
    </w:p>
    <w:p w14:paraId="0C521084" w14:textId="549242A0" w:rsidR="005273B8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12AD7AAE" w14:textId="77777777" w:rsidR="00464A1B" w:rsidRPr="00464A1B" w:rsidRDefault="00464A1B" w:rsidP="00464A1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 * *</w:t>
      </w:r>
    </w:p>
    <w:p w14:paraId="11234F7F" w14:textId="77777777" w:rsidR="00464A1B" w:rsidRPr="00464A1B" w:rsidRDefault="00464A1B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435061C2" w14:textId="58D84759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464A1B"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2</w:t>
      </w:r>
      <w:r w:rsid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Dall'Ufficio </w:t>
      </w:r>
      <w:r w:rsid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***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del</w:t>
      </w:r>
      <w:r w:rsid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l’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Ateneo mi segnalano che, in qualità di ente pubblico, non è possibile garantire il rispetto del vincolo sul genere femminile per il personale di nuova acquisizione.  </w:t>
      </w:r>
    </w:p>
    <w:p w14:paraId="42993FA9" w14:textId="3ABB0A8C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Nella scheda di riepilogo dell'allegato B, io ho </w:t>
      </w:r>
      <w:proofErr w:type="gramStart"/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inserito  0</w:t>
      </w:r>
      <w:proofErr w:type="gramEnd"/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% come % personale da assumere di genere femminile. Mi confermate che si tratta di una scelta legittima?</w:t>
      </w:r>
    </w:p>
    <w:p w14:paraId="0F38B956" w14:textId="069DA8C0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="00464A1B"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2.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Come esplicitato nell'articolo 3.3 punto 5, il reclutamento di personale di sesso femminile (e di quello </w:t>
      </w:r>
      <w:proofErr w:type="gramStart"/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giovanile)  è</w:t>
      </w:r>
      <w:proofErr w:type="gramEnd"/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un principio generale di tutto il programma </w:t>
      </w:r>
      <w:r w:rsidR="00464A1B"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PNRR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e come tale deve essere garantito con quota minima 40% a livello generale di programma. Si consiglia quindi di mettere tale cifra nell'allegato B, ma il mancato raggiungimento della quota non pregiudica la ricevibilità, ammissibilità e la valutazione di merito della proposta progettuale. A posteriori, in caso di mancato raggiungimento, sarà compito del beneficiario fornirne le opportune motivazioni.</w:t>
      </w:r>
    </w:p>
    <w:p w14:paraId="21E95CEB" w14:textId="09EF9FBA" w:rsidR="005C6634" w:rsidRPr="00464A1B" w:rsidRDefault="00464A1B" w:rsidP="00464A1B">
      <w:pPr>
        <w:jc w:val="center"/>
        <w:rPr>
          <w:sz w:val="24"/>
          <w:szCs w:val="24"/>
        </w:rPr>
      </w:pPr>
      <w:r>
        <w:rPr>
          <w:sz w:val="24"/>
          <w:szCs w:val="24"/>
        </w:rPr>
        <w:t>* * *</w:t>
      </w:r>
    </w:p>
    <w:p w14:paraId="575AB04B" w14:textId="0AA2368E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464A1B"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1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</w:t>
      </w:r>
      <w:r w:rsid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’art. 13 del “Modello di accordo tra </w:t>
      </w:r>
      <w:proofErr w:type="spellStart"/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Spoke</w:t>
      </w:r>
      <w:proofErr w:type="spellEnd"/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e beneficiari” (Allegato F del bando) rimanda a un successivo e specifico accordo tra le parti finalizzato a regolare la proprietà intellettuale dei risultati (e relativo sfruttamento) dell’attività del progetto.</w:t>
      </w:r>
    </w:p>
    <w:p w14:paraId="4D2A07E9" w14:textId="77777777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Chiederemmo cortesemente un’anticipazione dei contenuti e dei termini di tale accordo e, se possibile, di riceverne una bozza da poter visionare in anticipo.</w:t>
      </w:r>
    </w:p>
    <w:p w14:paraId="607E473D" w14:textId="009F1136" w:rsidR="005273B8" w:rsidRPr="00464A1B" w:rsidRDefault="005273B8" w:rsidP="00464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="00464A1B" w:rsidRPr="00464A1B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1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. Questo template </w:t>
      </w:r>
      <w:r w:rsid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non </w:t>
      </w:r>
      <w:r w:rsidRPr="00464A1B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è ancora disponibile.</w:t>
      </w:r>
    </w:p>
    <w:p w14:paraId="27274101" w14:textId="77777777" w:rsidR="007525DE" w:rsidRPr="00464A1B" w:rsidRDefault="007525DE">
      <w:pPr>
        <w:rPr>
          <w:sz w:val="24"/>
          <w:szCs w:val="24"/>
        </w:rPr>
      </w:pPr>
    </w:p>
    <w:sectPr w:rsidR="007525DE" w:rsidRPr="00464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1059A"/>
    <w:multiLevelType w:val="hybridMultilevel"/>
    <w:tmpl w:val="9EAE089A"/>
    <w:lvl w:ilvl="0" w:tplc="8F4242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2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C1"/>
    <w:rsid w:val="000F1DC2"/>
    <w:rsid w:val="0043653B"/>
    <w:rsid w:val="00464A1B"/>
    <w:rsid w:val="005273B8"/>
    <w:rsid w:val="005C6634"/>
    <w:rsid w:val="007525DE"/>
    <w:rsid w:val="007C6BC4"/>
    <w:rsid w:val="009E25C1"/>
    <w:rsid w:val="00C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DDDB"/>
  <w15:chartTrackingRefBased/>
  <w15:docId w15:val="{46314D79-6758-44A1-A271-C0A2D80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Strocco</dc:creator>
  <cp:keywords/>
  <dc:description/>
  <cp:lastModifiedBy>Roberto Strocco</cp:lastModifiedBy>
  <cp:revision>4</cp:revision>
  <dcterms:created xsi:type="dcterms:W3CDTF">2023-12-28T13:01:00Z</dcterms:created>
  <dcterms:modified xsi:type="dcterms:W3CDTF">2023-12-29T10:22:00Z</dcterms:modified>
</cp:coreProperties>
</file>